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28"/>
        <w:ind w:firstLine="709"/>
        <w:jc w:val="right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Приложение 1</w:t>
      </w:r>
    </w:p>
    <w:p>
      <w:pPr>
        <w:pStyle w:val="Normal"/>
        <w:spacing w:lineRule="auto" w:line="228"/>
        <w:ind w:firstLine="709"/>
        <w:jc w:val="right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к государственной программе «Развитие</w:t>
      </w:r>
    </w:p>
    <w:p>
      <w:pPr>
        <w:pStyle w:val="Normal"/>
        <w:spacing w:lineRule="auto" w:line="228"/>
        <w:ind w:firstLine="709"/>
        <w:jc w:val="right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сельского хозяйства и регулирование</w:t>
      </w:r>
    </w:p>
    <w:p>
      <w:pPr>
        <w:pStyle w:val="Normal"/>
        <w:spacing w:lineRule="auto" w:line="228"/>
        <w:ind w:firstLine="709"/>
        <w:jc w:val="right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рынков сельскохозяйственной продукции,</w:t>
      </w:r>
    </w:p>
    <w:p>
      <w:pPr>
        <w:pStyle w:val="Normal"/>
        <w:spacing w:lineRule="auto" w:line="228"/>
        <w:ind w:firstLine="709"/>
        <w:jc w:val="right"/>
        <w:rPr>
          <w:color w:val="000000"/>
          <w:spacing w:val="-2"/>
          <w:sz w:val="28"/>
        </w:rPr>
      </w:pPr>
      <w:r>
        <w:rPr>
          <w:color w:val="000000"/>
          <w:spacing w:val="-2"/>
          <w:sz w:val="28"/>
        </w:rPr>
        <w:t>сырья и продовольствия Брянской области»</w:t>
      </w:r>
    </w:p>
    <w:p>
      <w:pPr>
        <w:pStyle w:val="Normal"/>
        <w:ind w:firstLine="709"/>
        <w:jc w:val="center"/>
        <w:rPr>
          <w:rFonts w:eastAsia="Calibri" w:eastAsiaTheme="minorHAnsi"/>
          <w:bCs/>
          <w:sz w:val="28"/>
          <w:szCs w:val="28"/>
          <w:lang w:eastAsia="en-US"/>
        </w:rPr>
      </w:pPr>
      <w:r>
        <w:rPr>
          <w:rFonts w:eastAsia="Calibri" w:eastAsiaTheme="minorHAnsi"/>
          <w:bCs/>
          <w:sz w:val="28"/>
          <w:szCs w:val="28"/>
          <w:lang w:eastAsia="en-US"/>
        </w:rPr>
      </w:r>
    </w:p>
    <w:p>
      <w:pPr>
        <w:pStyle w:val="Normal"/>
        <w:ind w:firstLine="709"/>
        <w:jc w:val="center"/>
        <w:rPr>
          <w:rFonts w:eastAsia="Calibri" w:eastAsiaTheme="minorHAnsi"/>
          <w:bCs/>
          <w:sz w:val="28"/>
          <w:szCs w:val="28"/>
          <w:lang w:eastAsia="en-US"/>
        </w:rPr>
      </w:pPr>
      <w:r>
        <w:rPr>
          <w:rFonts w:eastAsia="Calibri" w:eastAsiaTheme="minorHAnsi"/>
          <w:bCs/>
          <w:sz w:val="28"/>
          <w:szCs w:val="28"/>
          <w:lang w:eastAsia="en-US"/>
        </w:rPr>
        <w:t>Методика</w:t>
      </w:r>
    </w:p>
    <w:p>
      <w:pPr>
        <w:pStyle w:val="Normal"/>
        <w:ind w:firstLine="709"/>
        <w:jc w:val="center"/>
        <w:rPr>
          <w:rFonts w:eastAsia="Calibri" w:eastAsiaTheme="minorHAnsi"/>
          <w:bCs/>
          <w:sz w:val="28"/>
          <w:szCs w:val="28"/>
          <w:lang w:eastAsia="en-US"/>
        </w:rPr>
      </w:pPr>
      <w:r>
        <w:rPr>
          <w:rFonts w:eastAsia="Calibri" w:eastAsiaTheme="minorHAnsi"/>
          <w:bCs/>
          <w:sz w:val="28"/>
          <w:szCs w:val="28"/>
          <w:lang w:eastAsia="en-US"/>
        </w:rPr>
        <w:t>расчета показателей (индикаторов) государственной программы</w:t>
      </w:r>
    </w:p>
    <w:p>
      <w:pPr>
        <w:pStyle w:val="Normal"/>
        <w:ind w:firstLine="709"/>
        <w:jc w:val="center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ListParagraph"/>
        <w:numPr>
          <w:ilvl w:val="0"/>
          <w:numId w:val="1"/>
        </w:numPr>
        <w:jc w:val="center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Показатели (индикаторы) государственной программы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ListParagraph"/>
        <w:numPr>
          <w:ilvl w:val="1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Индекс производительности труда к предыдущему году.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Единица измерения: процент.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Индекс производства напитков (в сопоставимых ценах) к предыдущему году.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Единица измерения: процент.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Индекс производства пищевых продуктов (в сопоставимых ценах) к предыдущему году.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Единица измерения: процент.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ListParagraph"/>
        <w:numPr>
          <w:ilvl w:val="1"/>
          <w:numId w:val="3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Индекс производства продукции сельского хозяйства (в сопоставимых ценах) к уровню 2020 года.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Единица измерения: процент.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Рассчитывается по данным территориального органа Федеральной службы государственной статистики по Брянской области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I</m:t>
            </m:r>
          </m:e>
          <m:sub>
            <m:r>
              <w:rPr>
                <w:rFonts w:ascii="Cambria Math" w:hAnsi="Cambria Math"/>
              </w:rPr>
              <m:t xml:space="preserve">q</m:t>
            </m:r>
          </m:sub>
        </m:sSub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q</m:t>
        </m:r>
        <m:r>
          <w:rPr>
            <w:rFonts w:ascii="Cambria Math" w:hAnsi="Cambria Math"/>
          </w:rPr>
          <m:t xml:space="preserve">0</m:t>
        </m:r>
        <m:r>
          <w:rPr>
            <w:rFonts w:ascii="Cambria Math" w:hAnsi="Cambria Math"/>
          </w:rPr>
          <m:t xml:space="preserve">p</m:t>
        </m:r>
        <m:r>
          <w:rPr>
            <w:rFonts w:ascii="Cambria Math" w:hAnsi="Cambria Math"/>
          </w:rPr>
          <m:t xml:space="preserve">0</m:t>
        </m:r>
        <m:r>
          <w:rPr>
            <w:rFonts w:ascii="Cambria Math" w:hAnsi="Cambria Math"/>
          </w:rPr>
          <m:t xml:space="preserve">×</m:t>
        </m:r>
        <m:d>
          <m:dPr>
            <m:begChr m:val="("/>
            <m:endChr m:val=")"/>
          </m:dPr>
          <m:e>
            <m:f>
              <m:num>
                <m:r>
                  <w:rPr>
                    <w:rFonts w:ascii="Cambria Math" w:hAnsi="Cambria Math"/>
                  </w:rPr>
                  <m:t xml:space="preserve">q</m:t>
                </m:r>
                <m:r>
                  <w:rPr>
                    <w:rFonts w:ascii="Cambria Math" w:hAnsi="Cambria Math"/>
                  </w:rPr>
                  <m:t xml:space="preserve">1</m:t>
                </m:r>
                <m:r>
                  <w:rPr>
                    <w:rFonts w:ascii="Cambria Math" w:hAnsi="Cambria Math"/>
                  </w:rPr>
                  <m:t xml:space="preserve">p</m:t>
                </m:r>
                <m:r>
                  <w:rPr>
                    <w:rFonts w:ascii="Cambria Math" w:hAnsi="Cambria Math"/>
                  </w:rPr>
                  <m:t xml:space="preserve">0</m:t>
                </m:r>
              </m:num>
              <m:den>
                <m:r>
                  <w:rPr>
                    <w:rFonts w:ascii="Cambria Math" w:hAnsi="Cambria Math"/>
                  </w:rPr>
                  <m:t xml:space="preserve">100</m:t>
                </m:r>
              </m:den>
            </m:f>
          </m:e>
        </m:d>
      </m:oMath>
      <w:r>
        <w:rPr>
          <w:color w:val="000000"/>
          <w:sz w:val="28"/>
          <w:szCs w:val="28"/>
        </w:rPr>
        <w:t>, где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Iq - индекс производства продукции сельского хозяйства (в сопоставимых ценах) к уровню 2020 года,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q1p1 - индекс производства продукции сельского хозяйства отчетного года в хозяйствах всех категорий (в сопоставимых ценах),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q0p0 - индекс производства продукции сельского хозяйства предыдущего года в хозяйствах всех категорий (в сопоставимых ценах).</w:t>
      </w:r>
    </w:p>
    <w:p>
      <w:pPr>
        <w:pStyle w:val="ListParagraph"/>
        <w:numPr>
          <w:ilvl w:val="1"/>
          <w:numId w:val="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высокопроизводительных рабочих мест.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Единица измерения: единица.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left="709" w:hang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1.6. Рентабельность сельскохозяйственных организаций (с учетом субсидий).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Единица измерения: процент.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Рассчитывается по данным сводной бухгалтерской отчетности (Форма 2 «Отчет о финансовых результатах»)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П</m:t>
            </m:r>
          </m:num>
          <m:den>
            <m:sSub>
              <m:e>
                <m:r>
                  <w:rPr>
                    <w:rFonts w:ascii="Cambria Math" w:hAnsi="Cambria Math"/>
                  </w:rPr>
                  <m:t xml:space="preserve">З</m:t>
                </m:r>
              </m:e>
              <m:sub>
                <m:r>
                  <w:rPr>
                    <w:rFonts w:ascii="Cambria Math" w:hAnsi="Cambria Math"/>
                  </w:rPr>
                  <m:t xml:space="preserve">п</m:t>
                </m:r>
              </m:sub>
            </m:sSub>
            <m:r>
              <w:rPr>
                <w:rFonts w:ascii="Cambria Math" w:hAnsi="Cambria Math"/>
              </w:rPr>
              <m:t xml:space="preserve">+</m:t>
            </m:r>
            <m:sSub>
              <m:e>
                <m:r>
                  <w:rPr>
                    <w:rFonts w:ascii="Cambria Math" w:hAnsi="Cambria Math"/>
                  </w:rPr>
                  <m:t xml:space="preserve">З</m:t>
                </m:r>
              </m:e>
              <m:sub>
                <m:r>
                  <w:rPr>
                    <w:rFonts w:ascii="Cambria Math" w:hAnsi="Cambria Math"/>
                  </w:rPr>
                  <m:t xml:space="preserve">р</m:t>
                </m:r>
              </m:sub>
            </m:sSub>
          </m:den>
        </m:f>
      </m:oMath>
      <w:r>
        <w:rPr>
          <w:color w:val="000000"/>
          <w:sz w:val="28"/>
          <w:szCs w:val="28"/>
        </w:rPr>
        <w:t>, где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 - рентабельность сельскохозяйственных организаций (с учетом субсидий),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– прибыль от реализации продукции в сельскохозяйственных организациях (с учетом субсидий),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З</m:t>
            </m:r>
          </m:e>
          <m:sub>
            <m:r>
              <w:rPr>
                <w:rFonts w:ascii="Cambria Math" w:hAnsi="Cambria Math"/>
              </w:rPr>
              <m:t xml:space="preserve">п</m:t>
            </m:r>
          </m:sub>
        </m:sSub>
      </m:oMath>
      <w:r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затраты на производство продукции в сельскохозяйственных организациях,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З</m:t>
            </m:r>
          </m:e>
          <m:sub>
            <m:r>
              <w:rPr>
                <w:rFonts w:ascii="Cambria Math" w:hAnsi="Cambria Math"/>
              </w:rPr>
              <m:t xml:space="preserve">р</m:t>
            </m:r>
          </m:sub>
        </m:sSub>
      </m:oMath>
      <w:r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затраты на реализацию продукции в сельскохозяйственных организациях.</w:t>
      </w:r>
    </w:p>
    <w:p>
      <w:pPr>
        <w:pStyle w:val="ListParagraph"/>
        <w:numPr>
          <w:ilvl w:val="1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Среднемесячная заработная плата работников сельского хозяйства (без субъектов малого предпринимательства).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Единица измерения: рубль.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Показатели (индикаторы) основных мероприятий (проектов)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Региональный проект «Акселерация субъектов малого и среднего предпринимательства (Брянская область)»</w:t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В результате реализации мер государственной поддержки сельскохозяйственных кооперативов и мероприятий по популяризации сельскохозяйственной кооперации, увеличено количество членов сельскохозяйственных потребительских кооперативов (количество новых членов сельскохозяйственных потребительских кооперативов из числа субъектов МСП в АПК и личных подсобных хозяйств граждан).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единица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Крестьянскими (фермерскими) хозяйствами, получившими грант «Агростартап», созданы новые рабочие места (количество новых рабочих мест, созданных крестьянскими (фермерскими) хозяйствами, получившими грант «Агростартап»).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единица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2.3. Субъекты МСП в АПК получили государственную поддержку в рамках федерального проекта на создание и развитие производств (количество крестьянских (фермерских) хозяйств, индивидуальных предпринимателей и сельскохозяйственных потребительских кооперативов, получивших государственную поддержку в рамках федерального проекта).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единица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Региональный проект «Экспорт продукции агропромышленного комплекса (Брянская область)»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ListParagraph"/>
        <w:numPr>
          <w:ilvl w:val="1"/>
          <w:numId w:val="5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экспорта готовой пищевой продукции.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миллион долларов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ФГБУ «Агроэкспорт».</w:t>
      </w:r>
    </w:p>
    <w:p>
      <w:pPr>
        <w:pStyle w:val="ListParagraph"/>
        <w:numPr>
          <w:ilvl w:val="1"/>
          <w:numId w:val="5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экспорта зерновых.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миллион долларов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ФГБУ «Агроэкспорт».</w:t>
      </w:r>
    </w:p>
    <w:p>
      <w:pPr>
        <w:pStyle w:val="ListParagraph"/>
        <w:numPr>
          <w:ilvl w:val="1"/>
          <w:numId w:val="5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экспорта мясной и молочной продукции.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миллион долларов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ФГБУ «Агроэкспорт».</w:t>
      </w:r>
    </w:p>
    <w:p>
      <w:pPr>
        <w:pStyle w:val="ListParagraph"/>
        <w:numPr>
          <w:ilvl w:val="1"/>
          <w:numId w:val="5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экспорта продукции агропромышленного комплекса (в сопоставимых ценах).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миллиард долларов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ФГБУ «Агроэкспорт».</w:t>
      </w:r>
    </w:p>
    <w:p>
      <w:pPr>
        <w:pStyle w:val="ListParagraph"/>
        <w:numPr>
          <w:ilvl w:val="1"/>
          <w:numId w:val="5"/>
        </w:numPr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Объем экспорта продукции масложировой отрасли.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миллион долларов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ФГБУ «Агроэкспорт».</w:t>
      </w:r>
    </w:p>
    <w:p>
      <w:pPr>
        <w:pStyle w:val="ListParagraph"/>
        <w:numPr>
          <w:ilvl w:val="1"/>
          <w:numId w:val="5"/>
        </w:numPr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Объем экспорта прочей продукции АПК.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миллион долларов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ФГБУ «Агроэкспорт».</w:t>
      </w:r>
    </w:p>
    <w:p>
      <w:pPr>
        <w:pStyle w:val="ListParagraph"/>
        <w:numPr>
          <w:ilvl w:val="1"/>
          <w:numId w:val="5"/>
        </w:numPr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Объем экспорта рыбы и морепродуктов.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миллион долларов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ФГБУ «Агроэкспорт».</w:t>
      </w:r>
    </w:p>
    <w:p>
      <w:pPr>
        <w:pStyle w:val="ListParagraph"/>
        <w:numPr>
          <w:ilvl w:val="1"/>
          <w:numId w:val="5"/>
        </w:numPr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Прирост объема производства масличных культур.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9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Региональный проект «Стимулирование инвестиционной деятельности в агропромышленном комплексе (Брянская область)»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ListParagraph"/>
        <w:numPr>
          <w:ilvl w:val="1"/>
          <w:numId w:val="6"/>
        </w:numPr>
        <w:ind w:left="0"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Объем введенных в год предоставления иных межбюджетных трансфертов, а также в годах, предшествующих году предоставления иных межбюджетных трансфертов, мощностей по хранению плодов и ягод, картофеля и овощей.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4.2. Объем остатка ссудной задолженности по субсидируемым кредитам (займам).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рублей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jc w:val="center"/>
        <w:rPr>
          <w:rFonts w:ascii="Arial" w:hAnsi="Arial" w:cs="Arial"/>
          <w:sz w:val="2"/>
          <w:szCs w:val="2"/>
        </w:rPr>
      </w:pPr>
      <w:r>
        <w:rPr>
          <w:color w:val="000000"/>
          <w:sz w:val="28"/>
          <w:szCs w:val="28"/>
        </w:rPr>
        <w:t>5. Региональный проект «Развитие отраслей и техническая модернизация агропромышленного комплекса (Брянская область)»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5.1. Валовой сбор картофеля в сельскохозяйственных организациях, крестьянских (фермерских) хозяйствах, включая индивидуальных предпринимателей.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spacing w:before="0" w:after="0"/>
        <w:ind w:firstLine="708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5.2. Валовой сбор льноволокна и пеньковолокна в сельскохозяйственных организациях, крестьянских (фермерских) хозяйствах и у индивидуальных предпринимателей.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ListParagraph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5.3. Доля застрахованного поголовья сельскохозяйственных животных в общем поголовье сельскохозяйственных животных.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процент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widowControl w:val="false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= 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Nфакт</m:t>
            </m:r>
          </m:num>
          <m:den>
            <m:r>
              <w:rPr>
                <w:rFonts w:ascii="Cambria Math" w:hAnsi="Cambria Math"/>
              </w:rPr>
              <m:t xml:space="preserve">N</m:t>
            </m:r>
            <m:r>
              <w:rPr>
                <w:rFonts w:ascii="Cambria Math" w:hAnsi="Cambria Math"/>
              </w:rPr>
              <m:t xml:space="preserve">общ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факт</m:t>
            </m:r>
          </m:den>
        </m:f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100</m:t>
        </m:r>
      </m:oMath>
      <w:r>
        <w:rPr>
          <w:sz w:val="28"/>
          <w:szCs w:val="28"/>
        </w:rPr>
        <w:t>,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где: </w:t>
      </w:r>
    </w:p>
    <w:p>
      <w:pPr>
        <w:pStyle w:val="Normal"/>
        <w:widowControl w:val="false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sz w:val="28"/>
          <w:szCs w:val="28"/>
          <w:lang w:val="en-US"/>
        </w:rPr>
        <w:t>N</w:t>
      </w:r>
      <w:r>
        <w:rPr>
          <w:i/>
          <w:sz w:val="24"/>
          <w:szCs w:val="24"/>
        </w:rPr>
        <w:t xml:space="preserve">факт </w:t>
      </w:r>
      <w:r>
        <w:rPr>
          <w:sz w:val="24"/>
          <w:szCs w:val="24"/>
        </w:rPr>
        <w:t xml:space="preserve">- </w:t>
      </w:r>
      <w:r>
        <w:rPr>
          <w:rFonts w:eastAsia="Calibri" w:eastAsiaTheme="minorHAnsi"/>
          <w:sz w:val="28"/>
          <w:szCs w:val="28"/>
          <w:lang w:eastAsia="en-US"/>
        </w:rPr>
        <w:t>фактическая численность застрахованного условного поголовья сельскохозяйственных животных в Брянской области по просубсидированным договорам страхования в году предоставления субсидии (на основании данных департамента сельского хозяйства Брянской области);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val="en-US" w:eastAsia="en-US"/>
        </w:rPr>
        <w:t>N</w:t>
      </w:r>
      <w:r>
        <w:rPr>
          <w:rFonts w:eastAsia="Calibri" w:eastAsiaTheme="minorHAnsi"/>
          <w:i/>
          <w:sz w:val="24"/>
          <w:szCs w:val="24"/>
          <w:lang w:eastAsia="en-US"/>
        </w:rPr>
        <w:t xml:space="preserve">общ.факт - </w:t>
      </w:r>
      <w:r>
        <w:rPr>
          <w:rFonts w:eastAsia="Calibri" w:eastAsiaTheme="minorHAnsi"/>
          <w:sz w:val="28"/>
          <w:szCs w:val="28"/>
          <w:lang w:eastAsia="en-US"/>
        </w:rPr>
        <w:t xml:space="preserve">общее фактическое условное поголовье сельскохозяйственных животных в сельскохозяйственных организациях, крестьянских (фермерских) хозяйствах и у индивидуальных предпринимателей в Брянской области в году предоставления субсидии (на основании данных </w:t>
      </w:r>
      <w:r>
        <w:rPr>
          <w:color w:val="000000"/>
          <w:sz w:val="28"/>
          <w:szCs w:val="28"/>
        </w:rPr>
        <w:t>территориального органа Федеральной службы государственной статистики по Брянской области на 01 января года предоставления субсидии</w:t>
      </w:r>
      <w:r>
        <w:rPr>
          <w:rFonts w:eastAsia="Calibri" w:eastAsiaTheme="minorHAnsi"/>
          <w:sz w:val="28"/>
          <w:szCs w:val="28"/>
          <w:lang w:eastAsia="en-US"/>
        </w:rPr>
        <w:t>).</w:t>
      </w:r>
    </w:p>
    <w:p>
      <w:pPr>
        <w:pStyle w:val="Normal"/>
        <w:ind w:right="-145" w:firstLine="708"/>
        <w:jc w:val="both"/>
        <w:rPr>
          <w:color w:val="000000"/>
          <w:sz w:val="28"/>
          <w:szCs w:val="28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5.4. </w:t>
      </w:r>
      <w:r>
        <w:rPr>
          <w:color w:val="000000"/>
          <w:sz w:val="28"/>
          <w:szCs w:val="28"/>
        </w:rPr>
        <w:t>Доля застрахованной посевной (посадочной) площади в общей посевной (посадочной) площади (в условных единицах площади)».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процент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widowControl w:val="false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= </w:t>
      </w:r>
      <w:r>
        <w:rPr/>
      </w:r>
      <m:oMath xmlns:m="http://schemas.openxmlformats.org/officeDocument/2006/math">
        <m:f>
          <m:num>
            <m:r>
              <w:rPr>
                <w:rFonts w:ascii="Cambria Math" w:hAnsi="Cambria Math"/>
              </w:rPr>
              <m:t xml:space="preserve">Sфакт</m:t>
            </m:r>
          </m:num>
          <m:den>
            <m:r>
              <w:rPr>
                <w:rFonts w:ascii="Cambria Math" w:hAnsi="Cambria Math"/>
              </w:rPr>
              <m:t xml:space="preserve">S</m:t>
            </m:r>
            <m:r>
              <w:rPr>
                <w:rFonts w:ascii="Cambria Math" w:hAnsi="Cambria Math"/>
              </w:rPr>
              <m:t xml:space="preserve">общ</m:t>
            </m:r>
            <m:r>
              <w:rPr>
                <w:rFonts w:ascii="Cambria Math" w:hAnsi="Cambria Math"/>
              </w:rPr>
              <m:t xml:space="preserve">.</m:t>
            </m:r>
            <m:r>
              <w:rPr>
                <w:rFonts w:ascii="Cambria Math" w:hAnsi="Cambria Math"/>
              </w:rPr>
              <m:t xml:space="preserve">факт</m:t>
            </m:r>
          </m:den>
        </m:f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100</m:t>
        </m:r>
      </m:oMath>
      <w:r>
        <w:rPr>
          <w:sz w:val="28"/>
          <w:szCs w:val="28"/>
        </w:rPr>
        <w:t>,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где: </w:t>
      </w:r>
    </w:p>
    <w:p>
      <w:pPr>
        <w:pStyle w:val="Normal"/>
        <w:widowControl w:val="false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sz w:val="28"/>
          <w:szCs w:val="28"/>
          <w:lang w:val="en-US"/>
        </w:rPr>
        <w:t>S</w:t>
      </w:r>
      <w:r>
        <w:rPr>
          <w:i/>
          <w:sz w:val="24"/>
          <w:szCs w:val="24"/>
        </w:rPr>
        <w:t xml:space="preserve">факт </w:t>
      </w:r>
      <w:r>
        <w:rPr>
          <w:sz w:val="24"/>
          <w:szCs w:val="24"/>
        </w:rPr>
        <w:t xml:space="preserve">- </w:t>
      </w:r>
      <w:r>
        <w:rPr>
          <w:rFonts w:eastAsia="Calibri" w:eastAsiaTheme="minorHAnsi"/>
          <w:sz w:val="28"/>
          <w:szCs w:val="28"/>
          <w:lang w:eastAsia="en-US"/>
        </w:rPr>
        <w:t>фактический размер застрахованной посевной (посадочной) площади (в условных единицах площади) в Брянской области по просубсидированным договорам страхования в году предоставления субсидии (на основании данных департамента сельского хозяйства Брянской области);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val="en-US" w:eastAsia="en-US"/>
        </w:rPr>
        <w:t>S</w:t>
      </w:r>
      <w:r>
        <w:rPr>
          <w:rFonts w:eastAsia="Calibri" w:eastAsiaTheme="minorHAnsi"/>
          <w:i/>
          <w:sz w:val="24"/>
          <w:szCs w:val="24"/>
          <w:lang w:eastAsia="en-US"/>
        </w:rPr>
        <w:t xml:space="preserve">общ.факт - </w:t>
      </w:r>
      <w:r>
        <w:rPr>
          <w:rFonts w:eastAsia="Calibri" w:eastAsiaTheme="minorHAnsi"/>
          <w:sz w:val="28"/>
          <w:szCs w:val="28"/>
          <w:lang w:eastAsia="en-US"/>
        </w:rPr>
        <w:t>фактический совокупный размер посевной (посадочной) площади (в условных единицах площади) в сельскохозяйственных организациях, крестьянских (фермерских) хозяйствах и у индивидуальных предпринимателей в Брянской области в году предоставления субсидии (на основании данных территориального органа Федеральной службы государственной статистики по Брянской области).</w:t>
      </w:r>
    </w:p>
    <w:p>
      <w:pPr>
        <w:pStyle w:val="ListParagraph"/>
        <w:ind w:left="0"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5.5. Доля площади, засеваемой элитными семенами, в общей площади посевов, занятой семенами сортов растений.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процент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5.6. Количество проектов грантополучателей, реализуемых с помощью грантовой поддержки на развитие семейных ферм и гранта «Агропрогресс», обеспечивающих прирост объема производства сельскохозяйственной продукции в отчетном году по отношению к предыдущему году не менее чем на 8 процентов.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sz w:val="28"/>
          <w:szCs w:val="28"/>
        </w:rPr>
        <w:t>единица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ListParagraph"/>
        <w:numPr>
          <w:ilvl w:val="1"/>
          <w:numId w:val="7"/>
        </w:numPr>
        <w:ind w:left="0"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Объем произведенных и реализованных хлеба и хлебобулочных изделий с использованием компенсации.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тонна; метрическая тонна (1000 кг)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5.8. Объем реализованной продукции овощеводства защищенного грунта собственного производства, выращенной с применением технологии досвечивания.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ListParagraph"/>
        <w:numPr>
          <w:ilvl w:val="1"/>
          <w:numId w:val="8"/>
        </w:numPr>
        <w:ind w:left="0"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Объем реализованных зерновых культур собственного производства.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fill="auto" w:val="clear"/>
          <w:lang w:eastAsia="en-US"/>
        </w:rPr>
        <w:t xml:space="preserve">5.10. </w:t>
      </w:r>
      <w:r>
        <w:rPr>
          <w:rFonts w:eastAsia="Calibri" w:eastAsiaTheme="minorHAnsi"/>
          <w:sz w:val="28"/>
          <w:szCs w:val="28"/>
          <w:shd w:fill="auto" w:val="clear"/>
          <w:lang w:eastAsia="en-US"/>
        </w:rPr>
        <w:t>Объем реализованных зерновых культур собственного производства (за счет средств резервного фонда Правительства РФ).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ListParagraph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5.11. Площадь закладки многолетних насаждений в сельскохозяйственных организациях, крестьянских (фермерских) хозяйствах и у индивидуальных предпринимателей.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гектаров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ListParagraph"/>
        <w:numPr>
          <w:ilvl w:val="1"/>
          <w:numId w:val="9"/>
        </w:numPr>
        <w:ind w:left="0"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Площадь уходных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(фермерских) хозяйствах и у индивидуальных предпринимателей.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гектаров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ListParagraph"/>
        <w:numPr>
          <w:ilvl w:val="1"/>
          <w:numId w:val="9"/>
        </w:numPr>
        <w:ind w:left="0"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Прирост маточного товарного поголовья крупного рогатого скота специализированных мясных пород в сельскохозяйственных организациях, крестьянских (фермерских) хозяйствах и у индивидуальных предпринимателей за отчетный год по отношению к предыдущему году.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голов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ListParagraph"/>
        <w:numPr>
          <w:ilvl w:val="1"/>
          <w:numId w:val="9"/>
        </w:numPr>
        <w:ind w:left="0"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Прирост объема молока сырого крупного рогатого скота, козьего и овечьего, переработанного на пищевую продукцию, за отчетный год по отношению к среднему объему молока сырого крупного рогатого скота, козьего и овечьего, переработанного на пищевую продукцию за 5 лет, предшествующих отчетному году.</w:t>
      </w:r>
    </w:p>
    <w:p>
      <w:pPr>
        <w:pStyle w:val="ListParagraph"/>
        <w:ind w:left="0" w:firstLine="708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как разность между объемом молока рогатого скота, козьего и овечьего, переработанного на пищевую продукцию, за отчетный год и среднеарифметическим значением объема переработки молока сырого крупного рогатого скота, козьего и овечьего, переработанного на пищевую продукцию, за предшествующие 5 лет (отчетный год – на основании данных</w:t>
      </w:r>
    </w:p>
    <w:p>
      <w:pPr>
        <w:pStyle w:val="Normal"/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территориального органа Федеральной службы государственной статистики по Брянской области, предшествующие 5 лет – на основании данных молокоперерабатывающих предприятий). </w:t>
      </w:r>
    </w:p>
    <w:p>
      <w:pPr>
        <w:pStyle w:val="ListParagraph"/>
        <w:numPr>
          <w:ilvl w:val="1"/>
          <w:numId w:val="9"/>
        </w:numPr>
        <w:ind w:left="0"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Прирост объема сельскохозяйственной продукции, произведенной в отчетном году крестьянскими (фермерскими) хозяйствами и индивидуальными предпринимателями, реализующими проекты с помощью грантовой поддержки на  развитие семейных ферм и гранта «Агропрогресс» за последние 5 лет (включая отчетный год), по отношению к предыдущему году.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процент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8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5.16. Прирост производства молока в сельскохозяйственных организациях, крестьянских (фермерских) хозяйствах и у индивидуальных предпринимателей, за отчетный год по отношению к среднему за 5 лет, предшествующих текущему финансовому году, объему производства молока.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Рассчитывается как разность между производством молока за отчетный год и среднеарифметическим значением производства молока за предшествующие 5 лет в сельскохозяйственных организациях, крестьянских (фермерских) хозяйствах, включая индивидуальных предпринимателей, по данным территориального органа Федеральной службы государственной статистики по Брянской области.</w:t>
      </w:r>
    </w:p>
    <w:p>
      <w:pPr>
        <w:pStyle w:val="Normal"/>
        <w:spacing w:before="0" w:after="0"/>
        <w:ind w:firstLine="708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5.17. Прирост производства овощей открытого грунта в сельскохозяйственных организациях, крестьянских (фермерских) хозяйствах и у индивидуальных предпринимателей за отчетный год по отношению к показателю, предусмотренному соглашением о предоставлении субсидии, за предыдущий год.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Рассчитывается как разность между производством овощей открытого грунта в сельскохозяйственных организациях, крестьянских (фермерских) хозяйствах, включая индивидуальных предпринимателей, за отчетный год и предшествующий период по данным территориального органа Федеральной службы государственной статистики по Брянской области.</w:t>
      </w:r>
    </w:p>
    <w:p>
      <w:pPr>
        <w:pStyle w:val="Normal"/>
        <w:spacing w:before="0" w:after="0"/>
        <w:ind w:firstLine="708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5.18. Производство молока в сельскохозяйственных организациях, крестьянских (фермерских) хозяйствах, включая индивидуальных предпринимателей.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spacing w:before="0" w:after="0"/>
        <w:ind w:firstLine="708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5.19. Размер посевных площадей, занятых зерновыми, зернобобовыми, масличными (за исключением рапса и сои) и кормовыми сельскохозяйственными культурами в сельскохозяйственных организациях, крестьянских (фермерских) хозяйствах, включая индивидуальных предпринимателей, в субъекте Российской Федерации.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гектаров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spacing w:before="0" w:after="0"/>
        <w:ind w:firstLine="708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5.20. Размер посевных площадей, занятых льном – долгунцом и технической коноплей в сельскохозяйственных организациях, крестьянских (фермерских) хозяйствах и у индивидульных предпринимателей.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гектаров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5.21. 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голов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8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5.22. Численность племенного маточного поголовья сельскохозяйственных животных (в пересчете на условные головы).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голов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Рассчитывается из фактических данных постоянного мониторинга департамента сельского хозяйства Брянской области с использованием коэффициентов, применяемых для перевода племенного поголовья сельскохозяйственных животных в условные головы, утвержденных приказом Минсельхоза России от 27 июля 2017 года № 373 «Об утверждении документов, предусмотренных правилами предоставления и распределения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комплекса, приведенными в приложении № 9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 717 «О Государственной программе развития сельского хозяйства и регулирования рынков сельскохозяйственной продукции, сырья и продовольствия на 2013 - 2020 годы».</w:t>
      </w:r>
    </w:p>
    <w:p>
      <w:pPr>
        <w:pStyle w:val="Normal"/>
        <w:spacing w:before="0" w:after="0"/>
        <w:ind w:firstLine="708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5.23. Численность племенных быков-производителей.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голов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Региональный проект «Развитие сельского туризма </w:t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(Брянская область)»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ListParagraph"/>
        <w:numPr>
          <w:ilvl w:val="1"/>
          <w:numId w:val="10"/>
        </w:numPr>
        <w:ind w:left="0" w:firstLine="735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Количество проектов развития сельского туризма, получивших государственную поддержку, обеспечивающих прирост производства сельскохозяйственной продукции (нарастающим итогом).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единица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widowControl w:val="false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ind w:firstLine="708"/>
        <w:jc w:val="center"/>
        <w:rPr>
          <w:rFonts w:ascii="Arial" w:hAnsi="Arial" w:cs="Arial"/>
          <w:sz w:val="2"/>
          <w:szCs w:val="2"/>
        </w:rPr>
      </w:pPr>
      <w:r>
        <w:rPr>
          <w:color w:val="000000"/>
          <w:sz w:val="28"/>
          <w:szCs w:val="28"/>
        </w:rPr>
        <w:t>7. Региональный проект «Развитие отраслей овощеводства и картофелеводства (Брянская область)»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 Объем производства овощей открытого грунта в сельскохозяйственных организациях, крестьянских (фермерских) хозяйствах и у индивидуальных предпринимателей.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Calibri" w:eastAsiaTheme="minorHAnsi"/>
          <w:sz w:val="28"/>
          <w:szCs w:val="28"/>
          <w:lang w:eastAsia="en-US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7.2. Производство овощей защищенного грунта, произведенных с применением технологии досвечивания.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7.3. Объем производства картофеля в сельскохозяйственных организациях, крестьянских (фермерских) хозяйствах и у индивидуальных предпринимателей.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Calibri" w:eastAsiaTheme="minorHAnsi"/>
          <w:sz w:val="28"/>
          <w:szCs w:val="28"/>
          <w:lang w:eastAsia="en-US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7.4. Объем высева элитного семенного картофеля и овощных культур (овощные культуры всех категорий).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7.5. Посевная площадь, занятая картофелем в сельскохозяйственных организациях, крестьянских (фермерских) хозяйствах, включая индивидуальных предпринимателей (малые формы).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гектаров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Calibri" w:eastAsiaTheme="minorHAnsi"/>
          <w:sz w:val="28"/>
          <w:szCs w:val="28"/>
          <w:lang w:eastAsia="en-US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7.6. Посевная площадь, занятая овощами открытого грунта в сельскохозяйственных организациях, крестьянских (фермерских) хозяйствах, включая индивидуальных предпринимателей (малые формы).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гектаров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Calibri" w:eastAsiaTheme="minorHAnsi"/>
          <w:sz w:val="28"/>
          <w:szCs w:val="28"/>
          <w:lang w:eastAsia="en-US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widowControl w:val="false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Региональный проект "Экспорт продукции агропромышленного комплекса (Брянская область)"</w:t>
      </w:r>
    </w:p>
    <w:p>
      <w:pPr>
        <w:pStyle w:val="Normal"/>
        <w:widowControl w:val="false"/>
        <w:jc w:val="center"/>
        <w:rPr>
          <w:rFonts w:ascii="Arial" w:hAnsi="Arial" w:cs="Arial"/>
          <w:sz w:val="2"/>
          <w:szCs w:val="2"/>
        </w:rPr>
      </w:pPr>
      <w:r>
        <w:rPr>
          <w:rFonts w:cs="Arial" w:ascii="Arial" w:hAnsi="Arial"/>
          <w:sz w:val="2"/>
          <w:szCs w:val="2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8.1. Расширение области аккредитации в национальной системе аккредитации 1 (одной) ветеринарной лаборатории, подведомственной органу исполнительной власти субъекта Российской Федерации, осуществляющему экспорт продукции АПК.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единица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Calibri" w:eastAsiaTheme="minorHAnsi"/>
          <w:sz w:val="28"/>
          <w:szCs w:val="28"/>
          <w:lang w:eastAsia="en-US"/>
        </w:rPr>
        <w:t>Данные предоставляются Федеральной службой по аккредитации.</w:t>
      </w:r>
    </w:p>
    <w:p>
      <w:pPr>
        <w:pStyle w:val="Normal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9. Увеличение (сохранение оптимального уровня) объемов производства продукции животноводства и растениеводства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ListParagraph"/>
        <w:numPr>
          <w:ilvl w:val="1"/>
          <w:numId w:val="11"/>
        </w:numPr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Агрохимическое обследование сельскохозяйственных земель.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гектаров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Данные </w:t>
      </w:r>
      <w:r>
        <w:rPr>
          <w:color w:val="000000"/>
          <w:sz w:val="28"/>
          <w:szCs w:val="28"/>
        </w:rPr>
        <w:t>подтверждаются сведениями ФГБУ «Брянскагрохимрадиология».</w:t>
      </w:r>
    </w:p>
    <w:p>
      <w:pPr>
        <w:pStyle w:val="Normal"/>
        <w:spacing w:before="0" w:after="0"/>
        <w:ind w:left="709" w:hang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9.2. Выход телят на 100 коров.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голова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Рассчитывается как отношение поступления приплода телят от коров за отчетный период к поголовью коров (без коров на откорме и отгуле) по данным территориального органа Федеральной службы государственной статистики по Брянской области, умноженное на 100.</w:t>
      </w:r>
    </w:p>
    <w:p>
      <w:pPr>
        <w:pStyle w:val="Normal"/>
        <w:spacing w:before="0" w:after="0"/>
        <w:ind w:left="709" w:hang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9.3. Количество комбайнов, приобретенных при господдержке.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единица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Подтверждаются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left="709" w:hang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9.4. Количество комплектов оборудования, приобретенных при господдержке.</w:t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единица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Подтверждаются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spacing w:before="0" w:after="0"/>
        <w:ind w:left="709" w:hang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9.5. Объем производства товарной аквакультуры, включая посадочный материал.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тонн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Подтверждаются фактическими данными постоянного мониторинга департамента сельского хозяйства Брянской области.</w:t>
      </w:r>
    </w:p>
    <w:p>
      <w:pPr>
        <w:pStyle w:val="ListParagraph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9.6. Приобретение племенного молодняка крупного рогатого скота в племенных организациях.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голова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Подтверждаются фактическими данными постоянного мониторинга департамента сельского хозяйства Брянской области.</w:t>
      </w:r>
    </w:p>
    <w:p>
      <w:pPr>
        <w:pStyle w:val="ListParagraph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9.7. Приобретение семени племенных быков-производителей для осеменения коров и телок молочного направления у предприятий по искусственному осеменению животных.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доз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подтверждаются постоянным мониторингом ГКУ Брянской области - районные управления сельского хозяйства.</w:t>
      </w:r>
    </w:p>
    <w:p>
      <w:pPr>
        <w:pStyle w:val="Normal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9.8. Приобретение элитных (оригинальных) семян сельскохозяйственных культур в элитно-семеноводческих хозяйствах Брянской области.</w:t>
      </w:r>
    </w:p>
    <w:p>
      <w:pPr>
        <w:pStyle w:val="Normal"/>
        <w:ind w:firstLine="851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тонна; метрическая тонна (1000 кг)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left="709" w:hang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9.9. Численность крупного рогатого скота в сельскохозяйственных организациях, крестьянских (фермерских) хозяйствах, включая индивидуальных предпринимателей.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тысяча голов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before="0" w:after="0"/>
        <w:ind w:firstLine="709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Обеспечение притока кадров в отрасль сельского хозяйства и закрепление их на селе</w:t>
      </w:r>
    </w:p>
    <w:p>
      <w:pPr>
        <w:pStyle w:val="Normal"/>
        <w:spacing w:before="0" w:after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before="0" w:after="0"/>
        <w:ind w:firstLine="709"/>
        <w:contextualSpacing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10.1. Количество молодых специалистов и квалифицированных рабочих, работавших в сельскохозяйственных организациях, крестьянских (фермерских) хозяйствах, включая индивидуальных предпринимателей, получивших субсидии на их поддержку.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человек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Реализация функций и полномочий по руководству и управлению в сфере сельского хозяйства органами государственной власти Брянской области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left="709" w:hanging="0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>11.1. Выполнение мероприятий государственной программы.</w:t>
      </w:r>
    </w:p>
    <w:p>
      <w:pPr>
        <w:pStyle w:val="Normal"/>
        <w:ind w:firstLine="709"/>
        <w:jc w:val="both"/>
        <w:rPr>
          <w:rFonts w:eastAsia="Calibri" w:eastAsiaTheme="minorHAnsi"/>
          <w:sz w:val="28"/>
          <w:szCs w:val="28"/>
          <w:lang w:eastAsia="en-US"/>
        </w:rPr>
      </w:pPr>
      <w:r>
        <w:rPr>
          <w:rFonts w:eastAsia="Calibri" w:eastAsiaTheme="minorHAnsi"/>
          <w:sz w:val="28"/>
          <w:szCs w:val="28"/>
          <w:lang w:eastAsia="en-US"/>
        </w:rPr>
        <w:t xml:space="preserve">Единица измерения: </w:t>
      </w:r>
      <w:r>
        <w:rPr>
          <w:color w:val="000000"/>
          <w:sz w:val="28"/>
          <w:szCs w:val="28"/>
        </w:rPr>
        <w:t>процент</w:t>
      </w:r>
      <w:r>
        <w:rPr>
          <w:rFonts w:eastAsia="Calibri" w:eastAsiaTheme="minorHAnsi"/>
          <w:sz w:val="28"/>
          <w:szCs w:val="28"/>
          <w:lang w:eastAsia="en-US"/>
        </w:rPr>
        <w:t>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департамента сельского хозяйства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Выполнение функций по эффективному ветеринарному обслуживанию и контролю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12.1. Выполнение объема показателей ветеринарного обслуживания и контроля.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ветеринарии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Rp = Rf / Rn x 100,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Rp - выполнение объема показателей ветеринарного обслуживания и контроля;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Rf - сумма запланированных на отчетный период значений показателей (баллов);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Rn - достигнутое за отчетный период значение показателей (баллов).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12.2. Обеспечение снятия (отмены) ограничительных мероприятий (карантина) на территории Брянской области по заразным болезням животных.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ветеринарии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Do = Dz / Dn x 100, </w:t>
      </w:r>
      <w:r>
        <w:rPr>
          <w:color w:val="000000"/>
          <w:sz w:val="28"/>
          <w:szCs w:val="28"/>
        </w:rPr>
        <w:t>где</w:t>
      </w:r>
      <w:r>
        <w:rPr>
          <w:color w:val="000000"/>
          <w:sz w:val="28"/>
          <w:szCs w:val="28"/>
          <w:lang w:val="en-US"/>
        </w:rPr>
        <w:t>:</w:t>
      </w:r>
    </w:p>
    <w:p>
      <w:pPr>
        <w:pStyle w:val="Normal"/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Do - доля снятых (отмененных) ограничительных мероприятий (карантина) по заразным болезням животных на территории Брянской области в отчетном периоде;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Dz - количество снятых (отмененных) ограничительных мероприятий (карантина) по заразным болезням животных на территории Брянской области в отчетном периоде;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Dn - количество установленных ограничительных мероприятий (карантина) по заразным болезням животных на территории Брянской области в отчетном периоде.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12.3. Обеспечение установления ограничительных мероприятий (карантина) на территории Брянской области по заразным болезням животных.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ветеринарии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Io = Iz / In x 100, </w:t>
      </w:r>
      <w:r>
        <w:rPr>
          <w:color w:val="000000"/>
          <w:sz w:val="28"/>
          <w:szCs w:val="28"/>
        </w:rPr>
        <w:t>где</w:t>
      </w:r>
      <w:r>
        <w:rPr>
          <w:color w:val="000000"/>
          <w:sz w:val="28"/>
          <w:szCs w:val="28"/>
          <w:lang w:val="en-US"/>
        </w:rPr>
        <w:t>:</w:t>
      </w:r>
    </w:p>
    <w:p>
      <w:pPr>
        <w:pStyle w:val="Normal"/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Io - доля установленных ограничительных мероприятий (карантина) по заразным болезням животных на территории Брянской области в отчетном периоде;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Iz - количество установленных ограничительных мероприятий (карантина) по заразным болезням животных на территории Брянской области в отчетном периоде (единиц);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 - количество выявленных очагов заразных болезней животных на территории Брянской области в отчетном периоде (единиц).</w:t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Осуществление государственного надзора в области обращения с животными на территории Брянской области в части соблюдения обязательных требований в отношении животных (за исключением обязательных требований в отношении диких животных, содержащихся или используемых в условиях неволи, а также обязательных требований к содержанию и использованию животных в культурно-зрелищных целях) и обеспечение безопасности продуктов животноводства в ветеринарно-санитарном отношении, выполнение функций по эффективному ветеринарному обслуживанию и контролю, предупреждение и ликвидация заразных и иных болезней животных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13.1. Доля животных свиноводческих хозяйств, имеющих низкий уровень биологической защиты, переведенных на альтернативные виды деятельности.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ветеринарии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Sa = Si / Sn x 100,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Sa - доля животных свиноводческих хозяйств, имеющих низкий уровень биологической защиты, переведенных на альтернативные виды деятельности;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 - количество животных свиноводческих хозяйств, имеющих низкий уровень биологической защиты, переведенных на альтернативные виды деятельности (голов);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Sn - общее количество животных свиноводческих хозяйств, имеющих низкий уровень биологической защиты (голов).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 xml:space="preserve">13.2. </w:t>
      </w:r>
      <w:r>
        <w:rPr>
          <w:color w:val="000000"/>
          <w:sz w:val="28"/>
          <w:szCs w:val="28"/>
        </w:rPr>
        <w:t>Доля ликвидированных неиспользуемых (бесхозяйных) скотомогильников на территории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ветеринарии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Lo = Li / Ln x 100,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Lo - доля ликвидированных неиспользуемых (бесхозяйных) скотомогильников на территории Брянской области;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Li - количество ликвидированных неиспользуемых (бесхозяйных) скотомогильников на территории Брянской области в отчетном периоде (единиц);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Ln - общее количество неиспользуемых (бесхозяйных) скотомогильников на территории Брянской области, подлежащих ликвидации в отчетном периоде (единиц).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fill="auto" w:val="clear"/>
        </w:rPr>
        <w:t xml:space="preserve">13.3. </w:t>
      </w:r>
      <w:r>
        <w:rPr>
          <w:color w:val="000000"/>
          <w:sz w:val="28"/>
          <w:szCs w:val="28"/>
        </w:rPr>
        <w:t>Доля модернизированных госветучреждений области, реализующих мероприятия по стабилизации и улучшению эпизоотической ситуации.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ветеринарии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To = Ti / Tn x 100, </w:t>
      </w:r>
      <w:r>
        <w:rPr>
          <w:color w:val="000000"/>
          <w:sz w:val="28"/>
          <w:szCs w:val="28"/>
        </w:rPr>
        <w:t>где</w:t>
      </w:r>
      <w:r>
        <w:rPr>
          <w:color w:val="000000"/>
          <w:sz w:val="28"/>
          <w:szCs w:val="28"/>
          <w:lang w:val="en-US"/>
        </w:rPr>
        <w:t>:</w:t>
      </w:r>
    </w:p>
    <w:p>
      <w:pPr>
        <w:pStyle w:val="Normal"/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To - доля модернизированных госветучреждений области, реализующих мероприятия по стабилизации и улучшению эпизоотической ситуации;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Ti - количество модернизированных госветучреждений области, реализующих мероприятия по стабилизации и улучшению эпизоотической ситуации (ед.);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Tn - общее количество госветучреждений области в отчетном периоде (ед.).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13.4. Количество модернизированных предприятий (строительно-монтажные работы и модернизация объектов по проведению дезинфекции (дезинфекционных блоков, дезинфекционных барьеров).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единица.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управления ветеринарии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13.5. Увеличение количества мониторинговых исследований сырья и продукции животного происхождения, произведенной на территории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ветеринарии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Fo = Fi / Fn x 100,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Fo - увеличение количества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Fi - количество проведенных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 в отчетном периоде (исследований);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Fn - количество проведенных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 в предыдущем периоде (исследований).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13.6. Увеличение количества мониторинговых лабораторно-диагностических исследований животных при осуществлении противоэпизоотических мероприятий по профилактике заразных болезней животных.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ветеринарии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Ho = Hi / Hn x 100, </w:t>
      </w:r>
      <w:r>
        <w:rPr>
          <w:color w:val="000000"/>
          <w:sz w:val="28"/>
          <w:szCs w:val="28"/>
        </w:rPr>
        <w:t>где</w:t>
      </w:r>
      <w:r>
        <w:rPr>
          <w:color w:val="000000"/>
          <w:sz w:val="28"/>
          <w:szCs w:val="28"/>
          <w:lang w:val="en-US"/>
        </w:rPr>
        <w:t>:</w:t>
      </w:r>
    </w:p>
    <w:p>
      <w:pPr>
        <w:pStyle w:val="Normal"/>
        <w:ind w:firstLine="709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Ho - увеличение количества мониторинговых исследований сырья и продукции животного происхождения, произведенной на территории Брянской области;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Hi - количество проведенных мониторинговых исследований сырья и продукции животного происхождения, произведенной на территории Брянской области в отчетном периоде (исследований);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Hn - количество проведенных мониторинговых исследований сырья и продукции животного происхождения, произведенной на территории Брянской области в предыдущем периоде (исследований).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Предупреждение и ликвидация заразных </w:t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иных болезней животных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14.1. Выполнение плана мониторинговых исследований состояния здоровья животных и ветеринарно-санитарной безопасности подконтрольной продукции.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ветеринарии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 = Mf / Mp x 100,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 - выполнение плана мониторинговых исследований за состоянием здоровья животных и ветеринарно-санитарной безопасностью подконтрольной продукции;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Mf - количество проведенных исследований в отчетном периоде (исследований);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Mp - общее количество запланированных исследований на отчетный период (исследований).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14.2.  Обеспечение полноты вакцинации животных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Bo = Bi / Bn x 100,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Bo - полнота вакцинации животных;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Bi - количество животных, подвергнутых вакцинациям в отчетном периоде (голов);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Bn - общее количество животных, запланированных к вакцинации в отчетном периоде (голов).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14.3. Обеспечение полноты проведения диагностических исследований животных.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 = Pi / Pn x 100,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 - полнота проведения диагностических исследований животных в отчетном периоде;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Pi - количество проведенных диагностических исследований животных в отчетном периоде (голов);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Pn - общее количество запланированных диагностических исследований животных в отчетном периоде (голов).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Обеспечение эффективной деятельности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 сфере развития торговой деятельности, общественного питания, бытового обслуживания населения, организации деятельности розничных рынков, а также регулирования отношений, возникающих в области розничной продажи алкогольной продукции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15.1.  Динамика поступлений в бюджеты всех уровней по соответствующей сфере деятельности.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15.2. Доля лиц, осуществляющих розничную продажу алкогольной продукции и представивших декларации в отчетном периоде.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= А / Б x 100,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- доля лиц, осуществляющих розничную продажу алкогольной продукции и представивших декларации в отчетном периоде;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- количество лиц, сдавших декларации по розничной продаже алкогольной продукции;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 - количество лиц, осуществляющих розничную продажу алкогольной продукции.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15.3. Доля решений, предписаний, постановлений и других исполнительных документов, выпущенных по результатам проведенных проверок, исполненных в отчетном периоде, от общего числа документов, которые должны быть исполнены в отчетном периоде.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 = Ж / Е x 100,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 - доля решений, предписаний, постановлений и других исполнительных документов, выпущенных по результатам проведенных проверок, исполненных в отчетном периоде, от общего числа документов, которые должны быть исполнены в отчетном периоде;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 - общее число исполненных документов (решений, предписаний, постановлений и других исполнительных документов), выпущенных по результатам проведенных проверок, которые должны быть исполнены в отчетном периоде;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 - общее количество документов (решений, предписаний, постановлений и других исполнительных документов), выпущенных по результатам проведенных проверок, которые должны быть исполнены в отчетном периоде.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15.4. Обеспеченность населения площадью торговых объектов.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Os = Sf / Nr x 100,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Os - обеспеченность населения площадью торговых объектов;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Sf - фактическая площадь торговых объектов в кв. метрах на 1 тыс. человек (по оперативным данным органов местного самоуправления Брянской области).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Nr - утвержденный норматив минимальной обеспеченности населения площадью торговых объектов по Брянской области в кв. метрах на 1 тыс. человек: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Nr = N</w:t>
      </w:r>
      <w:r>
        <w:rPr>
          <w:color w:val="000000"/>
          <w:sz w:val="28"/>
          <w:szCs w:val="28"/>
          <w:vertAlign w:val="subscript"/>
        </w:rPr>
        <w:t>r</w:t>
      </w:r>
      <w:r>
        <w:rPr>
          <w:color w:val="000000"/>
          <w:sz w:val="28"/>
          <w:szCs w:val="28"/>
          <w:vertAlign w:val="superscript"/>
        </w:rPr>
        <w:t>прод</w:t>
      </w:r>
      <w:r>
        <w:rPr>
          <w:color w:val="000000"/>
          <w:sz w:val="28"/>
          <w:szCs w:val="28"/>
        </w:rPr>
        <w:t xml:space="preserve"> + N</w:t>
      </w:r>
      <w:r>
        <w:rPr>
          <w:color w:val="000000"/>
          <w:sz w:val="28"/>
          <w:szCs w:val="28"/>
          <w:vertAlign w:val="subscript"/>
        </w:rPr>
        <w:t>r</w:t>
      </w:r>
      <w:r>
        <w:rPr>
          <w:color w:val="000000"/>
          <w:sz w:val="28"/>
          <w:szCs w:val="28"/>
          <w:vertAlign w:val="superscript"/>
        </w:rPr>
        <w:t>непрод</w:t>
      </w:r>
      <w:r>
        <w:rPr>
          <w:color w:val="000000"/>
          <w:sz w:val="28"/>
          <w:szCs w:val="28"/>
        </w:rPr>
        <w:t>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  <w:vertAlign w:val="subscript"/>
        </w:rPr>
        <w:t>r</w:t>
      </w:r>
      <w:r>
        <w:rPr>
          <w:color w:val="000000"/>
          <w:sz w:val="28"/>
          <w:szCs w:val="28"/>
          <w:vertAlign w:val="superscript"/>
        </w:rPr>
        <w:t>прод</w:t>
      </w:r>
      <w:r>
        <w:rPr>
          <w:color w:val="000000"/>
          <w:sz w:val="28"/>
          <w:szCs w:val="28"/>
        </w:rPr>
        <w:t xml:space="preserve"> - утвержденный норматив минимальной обеспеченности населения площадью торговых объектов по продаже продовольственных товаров по субъекту Российской Федерации в кв. м на 1 тыс. человек;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</w:t>
      </w:r>
      <w:r>
        <w:rPr>
          <w:color w:val="000000"/>
          <w:sz w:val="28"/>
          <w:szCs w:val="28"/>
          <w:vertAlign w:val="subscript"/>
        </w:rPr>
        <w:t>r</w:t>
      </w:r>
      <w:r>
        <w:rPr>
          <w:color w:val="000000"/>
          <w:sz w:val="28"/>
          <w:szCs w:val="28"/>
          <w:vertAlign w:val="superscript"/>
        </w:rPr>
        <w:t>непрод</w:t>
      </w:r>
      <w:r>
        <w:rPr>
          <w:color w:val="000000"/>
          <w:sz w:val="28"/>
          <w:szCs w:val="28"/>
        </w:rPr>
        <w:t xml:space="preserve"> - утвержденный норматив минимальной обеспеченности населения площадью торговых объектов по продаже непродовольственных товаров по субъекту Российской Федерации (муниципальному образованию) в кв. м на 1 тыс. человек.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15.5. Оборот розничной торговли.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миллион рублей.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 = Pp / Pt x 100, где: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 - динамика поступлений в бюджеты всех уровней в сфере «Оптовая и розничная торговля, ремонт автотранспортных средств, мотоциклов, бытовых изделий и предметов личного пользования»;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Pp - сумма налоговых поступлений в плановом году;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Pt - сумма налоговых поступлений в текущем году.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15.6. Объем инвестиций в основной капитал в соответствующей сфере деятельности (крупные и средние предприятия).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миллион рублей.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предоставляются территориальным органом Федеральной службы государственной статистики по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15.7. Прирост количества объектов, на которых проведен анализ состояния организации торговли, общественного питания, бытовых услуг.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Рассчитывается по данным постоянного мониторинга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процент.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Определяется по формуле: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= (St / Sp - 1) x 100, где:</w:t>
      </w:r>
    </w:p>
    <w:p>
      <w:pPr>
        <w:pStyle w:val="Normal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- прирост количества объектов, на которых проведен анализ состояния организации торговли, общественного питания, бытовых услуг;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St - количество объектов, в которых проведен анализ состояния организации торговли, общественного питания, бытовых услуг в текущем году (или планируемом периоде);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Sp - количество объектов, в которых проведен анализ состояния организации торговли, общественного питания, бытовых услуг в предшествующем году.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15.8. Проведение мониторинга цен на социально значимые продовольственные товары в предприятиях торговли.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да (1) / нет (0). 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управления потребительского рынка Брянской области.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15.9. Проведение ярмарок, выставок-продаж, покупательских конференций, конкурсов профессионального мастерства.</w:t>
      </w:r>
    </w:p>
    <w:p>
      <w:pPr>
        <w:pStyle w:val="Normal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Единица измерения: единиц. </w:t>
      </w:r>
    </w:p>
    <w:p>
      <w:pPr>
        <w:pStyle w:val="Normal"/>
        <w:jc w:val="both"/>
        <w:rPr/>
      </w:pPr>
      <w:r>
        <w:rPr>
          <w:color w:val="000000"/>
          <w:sz w:val="28"/>
          <w:szCs w:val="28"/>
        </w:rPr>
        <w:t>Подтверждается фактическими данными постоянного мониторинга управления потребительского рынка Брянской области.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5"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6">
    <w:lvl w:ilvl="0">
      <w:start w:val="4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eastAsia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eastAsia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eastAsia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  <w:rPr>
        <w:rFonts w:eastAsia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  <w:rPr>
        <w:rFonts w:eastAsia="Times New Roman"/>
        <w:color w:val="000000"/>
      </w:rPr>
    </w:lvl>
  </w:abstractNum>
  <w:abstractNum w:abstractNumId="7"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7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8"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9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9">
    <w:lvl w:ilvl="0">
      <w:start w:val="5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2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0">
    <w:lvl w:ilvl="0">
      <w:start w:val="6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5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9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8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11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2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4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040" w:hanging="2160"/>
      </w:pPr>
    </w:lvl>
  </w:abstractNum>
  <w:abstractNum w:abstractNumId="11">
    <w:lvl w:ilvl="0">
      <w:start w:val="9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2444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82444a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Application>LibreOffice/7.0.1.2$Windows_X86_64 LibreOffice_project/7cbcfc562f6eb6708b5ff7d7397325de9e764452</Application>
  <Pages>19</Pages>
  <Words>4084</Words>
  <Characters>32601</Characters>
  <CharactersWithSpaces>36342</CharactersWithSpaces>
  <Paragraphs>373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2022-10-21T07:12:00Z</dcterms:created>
  <dc:creator>Departament</dc:creator>
  <dc:description/>
  <dc:language>ru-RU</dc:language>
  <cp:lastModifiedBy/>
  <cp:lastPrinted>2022-10-27T12:44:05Z</cp:lastPrinted>
  <dcterms:modified xsi:type="dcterms:W3CDTF">2022-10-27T12:43:49Z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